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宁波市镇海投资有限公司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5</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5"/>
        <w:gridCol w:w="1669"/>
        <w:gridCol w:w="1184"/>
        <w:gridCol w:w="1378"/>
        <w:gridCol w:w="1507"/>
        <w:gridCol w:w="1324"/>
        <w:gridCol w:w="1184"/>
        <w:gridCol w:w="937"/>
      </w:tblGrid>
      <w:tr w14:paraId="14C39C7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3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规划用途</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建筑面积（平方米）</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土地面积</w:t>
            </w:r>
            <w:r>
              <w:rPr>
                <w:rFonts w:hint="eastAsia" w:ascii="宋体" w:hAnsi="宋体" w:cs="宋体"/>
                <w:color w:val="000000"/>
                <w:kern w:val="0"/>
                <w:sz w:val="24"/>
                <w:szCs w:val="20"/>
                <w:highlight w:val="none"/>
              </w:rPr>
              <w:t>（平方米）</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70"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kern w:val="0"/>
                <w:sz w:val="24"/>
                <w:szCs w:val="20"/>
                <w:highlight w:val="none"/>
              </w:rPr>
              <w:t>租期</w:t>
            </w:r>
          </w:p>
        </w:tc>
      </w:tr>
      <w:tr w14:paraId="3FD37BD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37"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镇海区骆驼杭甬路北东侧（景澜庭小区北侧地块）</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国有划拨商业服务业用地</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113.15</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572</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rPr>
            </w:pPr>
            <w:r>
              <w:rPr>
                <w:rFonts w:hint="eastAsia" w:ascii="宋体" w:hAnsi="宋体" w:cs="宋体"/>
                <w:color w:val="000000"/>
                <w:kern w:val="0"/>
                <w:sz w:val="24"/>
                <w:szCs w:val="20"/>
                <w:highlight w:val="none"/>
                <w:lang w:val="en-US" w:eastAsia="zh-CN"/>
              </w:rPr>
              <w:t>65000</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6</w:t>
            </w:r>
            <w:r>
              <w:rPr>
                <w:rFonts w:hint="eastAsia" w:ascii="宋体" w:hAnsi="宋体" w:eastAsia="宋体" w:cs="宋体"/>
                <w:color w:val="000000"/>
                <w:kern w:val="0"/>
                <w:sz w:val="24"/>
                <w:szCs w:val="20"/>
                <w:highlight w:val="none"/>
                <w:lang w:val="en-US" w:eastAsia="zh-CN"/>
              </w:rPr>
              <w:t>000</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color w:val="000000"/>
                <w:kern w:val="0"/>
                <w:sz w:val="24"/>
                <w:szCs w:val="20"/>
                <w:highlight w:val="none"/>
                <w:lang w:val="en-US" w:eastAsia="zh-CN" w:bidi="ar"/>
              </w:rPr>
              <w:t>3年</w:t>
            </w:r>
          </w:p>
        </w:tc>
      </w:tr>
    </w:tbl>
    <w:p w14:paraId="4CE65F99">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注：1. 本标的竞得人须按本</w:t>
      </w:r>
      <w:r>
        <w:rPr>
          <w:rFonts w:hint="eastAsia" w:ascii="宋体" w:hAnsi="宋体" w:cs="宋体"/>
          <w:b/>
          <w:color w:val="auto"/>
          <w:sz w:val="24"/>
          <w:szCs w:val="24"/>
          <w:lang w:val="en-US" w:eastAsia="zh-CN"/>
        </w:rPr>
        <w:t>须知</w:t>
      </w:r>
      <w:r>
        <w:rPr>
          <w:rFonts w:hint="default" w:ascii="宋体" w:hAnsi="宋体" w:cs="宋体"/>
          <w:b/>
          <w:color w:val="auto"/>
          <w:sz w:val="24"/>
          <w:szCs w:val="24"/>
          <w:lang w:eastAsia="zh-CN"/>
        </w:rPr>
        <w:t>第</w:t>
      </w:r>
      <w:r>
        <w:rPr>
          <w:rFonts w:hint="eastAsia" w:ascii="宋体" w:hAnsi="宋体" w:cs="宋体"/>
          <w:b/>
          <w:color w:val="auto"/>
          <w:sz w:val="24"/>
          <w:szCs w:val="24"/>
          <w:lang w:val="en-US" w:eastAsia="zh-CN"/>
        </w:rPr>
        <w:t>十一</w:t>
      </w:r>
      <w:r>
        <w:rPr>
          <w:rFonts w:hint="default" w:ascii="宋体" w:hAnsi="宋体" w:cs="宋体"/>
          <w:b/>
          <w:color w:val="auto"/>
          <w:sz w:val="24"/>
          <w:szCs w:val="24"/>
          <w:lang w:eastAsia="zh-CN"/>
        </w:rPr>
        <w:t>条约定完成</w:t>
      </w:r>
      <w:r>
        <w:rPr>
          <w:rFonts w:hint="eastAsia" w:ascii="宋体" w:hAnsi="宋体" w:cs="宋体"/>
          <w:b/>
          <w:color w:val="auto"/>
          <w:sz w:val="24"/>
          <w:szCs w:val="24"/>
          <w:lang w:val="en-US" w:eastAsia="zh-CN"/>
        </w:rPr>
        <w:t>维</w:t>
      </w:r>
      <w:r>
        <w:rPr>
          <w:rFonts w:hint="default" w:ascii="宋体" w:hAnsi="宋体" w:cs="宋体"/>
          <w:b/>
          <w:color w:val="auto"/>
          <w:sz w:val="24"/>
          <w:szCs w:val="24"/>
          <w:lang w:eastAsia="zh-CN"/>
        </w:rPr>
        <w:t>修改造义务，未履行或未全面履行的，视为根本违约，委托人有权单方解除租赁合同并追究违约责任。</w:t>
      </w:r>
    </w:p>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2.竞买人须对本公告第</w:t>
      </w:r>
      <w:r>
        <w:rPr>
          <w:rFonts w:hint="eastAsia" w:ascii="宋体" w:hAnsi="宋体" w:cs="宋体"/>
          <w:b/>
          <w:color w:val="auto"/>
          <w:sz w:val="24"/>
          <w:szCs w:val="24"/>
          <w:lang w:val="en-US" w:eastAsia="zh-CN"/>
        </w:rPr>
        <w:t>十一</w:t>
      </w:r>
      <w:r>
        <w:rPr>
          <w:rFonts w:hint="default" w:ascii="宋体" w:hAnsi="宋体" w:cs="宋体"/>
          <w:b/>
          <w:color w:val="auto"/>
          <w:sz w:val="24"/>
          <w:szCs w:val="24"/>
          <w:lang w:eastAsia="zh-CN"/>
        </w:rPr>
        <w:t>条的约定内容进行细致审阅，务必充分预估潜在投入成本、识别相关风险，在此基础上审慎参与竞拍活动。原承租人在同等条件下享有优先承租权。如未报名的，则视为放弃优先租赁权。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4</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宁波市镇海投资有限公司</w:t>
      </w:r>
      <w:r>
        <w:rPr>
          <w:rFonts w:hint="eastAsia" w:ascii="宋体" w:hAnsi="宋体" w:cs="宋体"/>
          <w:sz w:val="24"/>
          <w:szCs w:val="24"/>
          <w:u w:val="single"/>
        </w:rPr>
        <w:t>，开户银行：建设银行镇海支行，账号：33101984036050063885</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numPr>
          <w:ilvl w:val="0"/>
          <w:numId w:val="1"/>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8F01B29">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textAlignment w:val="auto"/>
        <w:rPr>
          <w:rFonts w:hint="eastAsia" w:ascii="宋体" w:hAnsi="宋体" w:cs="宋体"/>
          <w:b w:val="0"/>
          <w:bCs w:val="0"/>
          <w:color w:val="auto"/>
          <w:sz w:val="24"/>
          <w:szCs w:val="24"/>
          <w:lang w:val="en-US" w:eastAsia="zh-CN"/>
        </w:rPr>
      </w:pPr>
      <w:r>
        <w:rPr>
          <w:rFonts w:hint="eastAsia" w:ascii="宋体" w:hAnsi="宋体" w:cs="宋体"/>
          <w:b/>
          <w:bCs/>
          <w:color w:val="auto"/>
          <w:sz w:val="24"/>
          <w:szCs w:val="24"/>
          <w:lang w:val="en-US" w:eastAsia="zh-CN"/>
        </w:rPr>
        <w:t>十一</w:t>
      </w:r>
      <w:r>
        <w:rPr>
          <w:rFonts w:hint="eastAsia" w:ascii="宋体" w:hAnsi="宋体" w:cs="宋体"/>
          <w:b w:val="0"/>
          <w:bCs w:val="0"/>
          <w:color w:val="auto"/>
          <w:sz w:val="24"/>
          <w:szCs w:val="24"/>
          <w:lang w:val="en-US" w:eastAsia="zh-CN"/>
        </w:rPr>
        <w:t>、标的维修改造特别约定</w:t>
      </w:r>
    </w:p>
    <w:p w14:paraId="67778225">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鉴于本标的存在一定瑕疵，须经加固改造后方可投入使用，为明确改造过程中各方权利与义务，特作如下约定：</w:t>
      </w:r>
    </w:p>
    <w:p w14:paraId="111936D2">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1.维修改造义务主体：本标的竞得人（以下简称 “乙方”）为维修改造义务唯一主体，委托人（以下简称 “甲方”）无承担维修改造费用及实施改造行为的义务。</w:t>
      </w:r>
    </w:p>
    <w:p w14:paraId="463EFEBD">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2.维修改造费用承担：维修改造所产生的全部费用（包括但不限于第三方资质机构的方案设计费、检测费、施工费、材料采购费、安全鉴定费等）均由乙方全额承担，甲方不予以任何补贴或报销。</w:t>
      </w:r>
    </w:p>
    <w:p w14:paraId="7BA91A01">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3.改造方案要求：</w:t>
      </w:r>
    </w:p>
    <w:p w14:paraId="1C31A991">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乙方须委托具备 “建筑工程设计乙级及以上资质” 或 “房屋安全鉴定甲级资质” 的第三方机构（以下简称 “设计机构”）制定维修改造方案；</w:t>
      </w:r>
    </w:p>
    <w:p w14:paraId="57FD5D6B">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改造方案须明确改造范围（至少覆盖房屋主体结构修复、安全隐患排除等）、改造标准（须符合最新版《建筑结构可靠性设计统一标准》、《房屋安全鉴定标准》等国家及地方现行规范）；</w:t>
      </w:r>
    </w:p>
    <w:p w14:paraId="1D0E3280">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改造方案须经甲方书面审核确认后方可实施，甲方有权根据标的实际情况、规划要求及安全标准提出修改意见，乙方应按甲方意见调整方案，直至符合要求。</w:t>
      </w:r>
    </w:p>
    <w:p w14:paraId="46483A14">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过程监督：乙方实施维修改造期间，须接受甲方的现场监督检查，甲方有权要求乙方提供改造进度报告、材料合格证明等文件；若乙方存在违规施工（如擅自改变方案、使用不合格材料等），甲方有权要求立即停工整改，整改费用由乙方承担，且工期不予顺延。</w:t>
      </w:r>
    </w:p>
    <w:p w14:paraId="25B0D208">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房屋安全鉴定报告要求：乙方须委托具备 “房屋安全鉴定甲级资质” 的第三方机构对标的进行安全鉴定，并取得《房屋安全鉴定报告》；该报告须明确标的改造后符合 “安全使用标准”（即鉴定等级为 “A 级” 或 “B 级”，无安全隐患），且满足本公告约定的规划用途及改造标准。</w:t>
      </w:r>
    </w:p>
    <w:p w14:paraId="64911B02">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验收与交付：乙方完成维修改造后，须向甲方提交两类核心文件：①前述《房屋安全鉴定报告》；②改造完工证明文件（包括但不限于施工验收记录、材料结算清单等能证明改造已完工的材料）。甲方在收到文件后组织验收；验收合格的，双方办理标的交付手续；验收不合格的，乙方须在甲方指定时间内整改完毕并重新提交鉴定报告及验收申请，直至验收合格，由此产生的二次鉴定费、整改费等均由乙方承担。</w:t>
      </w:r>
    </w:p>
    <w:p w14:paraId="771FF819">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4.违约责任：</w:t>
      </w:r>
    </w:p>
    <w:p w14:paraId="02470387">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若乙方在验收合格前擅自使用标的，甲方有权单方解除《租赁合同》，同时没收乙方已缴纳的保证金，并要求乙方赔偿甲方因此遭受的全部损失（包括但不限于重新招租产生的差价损失、标的闲置期间的场地闲置损失等）。</w:t>
      </w:r>
    </w:p>
    <w:p w14:paraId="4F2B6FA0">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若因乙方维修改造不当，导致标的出现结构损坏、产生安全隐患或不符合约定规划用途的，乙方须承担全部修复责任（包括修复费用、修复工期等），同时赔偿甲方因此遭受的全部损失（包括但不限于第三方针对标的问题提出的索赔、行政部门针对标的问题作出的行政罚款等）；且甲方有权根据实际情况，单方解除与乙方的相关合同。</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二</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四</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21</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10F042A5">
      <w:pPr>
        <w:keepNext w:val="0"/>
        <w:keepLines w:val="0"/>
        <w:widowControl w:val="0"/>
        <w:suppressLineNumbers w:val="0"/>
        <w:spacing w:before="0" w:beforeAutospacing="0" w:after="0" w:afterAutospacing="0"/>
        <w:ind w:left="0" w:right="0"/>
        <w:jc w:val="both"/>
        <w:rPr>
          <w:rFonts w:hint="default" w:ascii="黑体" w:hAnsi="宋体" w:eastAsia="黑体" w:cs="黑体"/>
          <w:b/>
          <w:bCs/>
          <w:kern w:val="2"/>
          <w:sz w:val="28"/>
          <w:szCs w:val="28"/>
        </w:rPr>
      </w:pPr>
      <w:r>
        <w:rPr>
          <w:rFonts w:hint="default" w:ascii="黑体" w:hAnsi="宋体" w:eastAsia="黑体" w:cs="黑体"/>
          <w:b/>
          <w:bCs/>
          <w:kern w:val="2"/>
          <w:sz w:val="28"/>
          <w:szCs w:val="28"/>
          <w:lang w:val="en-US" w:eastAsia="zh-CN" w:bidi="ar"/>
        </w:rPr>
        <w:t>附件1:</w:t>
      </w:r>
    </w:p>
    <w:p w14:paraId="282101C5">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6A110CE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C18721F">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18088E85">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25722F28">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547746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DEBCC6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5C1881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27F17FF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615EB91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6B91569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26573B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4B24E9F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BBA74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DCF787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E27877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3D39ED4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7BC239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47D5EB63">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4F5A2FC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055AEB3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10D5FD0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32A0E6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5CF400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3B7389A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66081DC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2DFBCCB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7E82F4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22F723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4BE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CD62BC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962D37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899665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1F1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F97EC0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A82ACB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6378876D">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46C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0504134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3115D8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54DF72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EE0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1CA0A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20AB8AD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F82DE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CD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C0D1D2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D5AD9C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B7773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662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2474766">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8980CF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7DB0D1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F4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82B38E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79F6FD0">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D45804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E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95E751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4C801F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4E891C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7777DF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0EEF18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575173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7B9D11C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048970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3ED1CF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40A9715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C7AF3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390944F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59B6CF2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468BA2D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51F91D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3D83B4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26275C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F08229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5E4F35F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7638227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F9479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11ED7CA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C8361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6CB908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44AA6E4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6F2629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6B73874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792C647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B2033D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743D31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149EEF9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569A4E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7FCA4B8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5A9D58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468F6C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208529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57C0DAE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4527A6E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756B9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3AD4ADD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70B6ED5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0B365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4EAEA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1991F2A">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40C909E4">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3C8E60A4">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70972C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22976C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3380F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637F93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5F0694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ED781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7AF252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53F71E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61FB89D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16033D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1F36413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0D1515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25B3CF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3639B33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1D505BF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2E1A8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16764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230F10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0FACAFB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2184266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B80F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F3AB5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3A6D18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99D476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102FD7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34066F9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2C0213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328B47A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00944A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F9EA2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F725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BED6A31">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0D58F932">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21711C1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366EEE0D">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5A90A91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674145A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2EB1553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54EB037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533B14D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0989623C">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2D72B5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282AB734">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68FFC6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1389401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5AE59D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1F5AA45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6E74D45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31C50B2B">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74F0DFE8">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D7F1DE3">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5B9CA5E">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05433CC3">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1F947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C14E04A">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29022601">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4EA3803D">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BDE42BB">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61CA46C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DECE5C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3AFC46F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6FFA0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4CE4D9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0506BC">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1F447B">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8CE773">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11F386D">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F478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405F7E">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CA1A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FA7EB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297125">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CAF902">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477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533014C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AB2DDA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629031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08E97F2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7721D3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70776D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621E2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1563298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3D5D405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1E489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56764D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4527335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50BEF1C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57B83D3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4AE9415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361C890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6E59DC3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4386F89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1EE50D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07E539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DCCC1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2321F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1CC9339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1DDACB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77C174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261C407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59B93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366BCB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353DCA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295CC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40AE67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20D296A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3343D5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19132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088421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4D1D7E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5E224A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431DA67A">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63E3DFB">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3020EB9C">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8F1B14B">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08DFE2">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6785F962">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303FAE20">
      <w:pPr>
        <w:spacing w:before="50" w:after="50" w:line="480" w:lineRule="exact"/>
        <w:jc w:val="both"/>
      </w:pPr>
    </w:p>
    <w:sectPr>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EC63F3"/>
    <w:multiLevelType w:val="singleLevel"/>
    <w:tmpl w:val="55EC63F3"/>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015F8C"/>
    <w:rsid w:val="0C2A1F61"/>
    <w:rsid w:val="0CA57A5D"/>
    <w:rsid w:val="0DF45AE2"/>
    <w:rsid w:val="0E344BF5"/>
    <w:rsid w:val="0E935BFE"/>
    <w:rsid w:val="0EF9493B"/>
    <w:rsid w:val="0F8C742C"/>
    <w:rsid w:val="10D6305D"/>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3F71ED1"/>
    <w:rsid w:val="44B352D2"/>
    <w:rsid w:val="461E0BEE"/>
    <w:rsid w:val="47355B00"/>
    <w:rsid w:val="474C70C5"/>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D99195"/>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4FFAA21"/>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13140</Words>
  <Characters>13598</Characters>
  <Lines>1</Lines>
  <Paragraphs>1</Paragraphs>
  <TotalTime>5</TotalTime>
  <ScaleCrop>false</ScaleCrop>
  <LinksUpToDate>false</LinksUpToDate>
  <CharactersWithSpaces>14945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2025-10-21T01:31:45Z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